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9C" w:rsidRPr="00142657" w:rsidRDefault="002E3E9C" w:rsidP="002E3E9C">
      <w:pPr>
        <w:rPr>
          <w:sz w:val="28"/>
        </w:rPr>
      </w:pPr>
      <w:r w:rsidRPr="00142657">
        <w:rPr>
          <w:rFonts w:hint="eastAsia"/>
          <w:sz w:val="28"/>
        </w:rPr>
        <w:t>附件</w:t>
      </w:r>
      <w:r w:rsidRPr="00142657">
        <w:rPr>
          <w:sz w:val="28"/>
        </w:rPr>
        <w:t>1</w:t>
      </w:r>
      <w:r w:rsidRPr="00142657">
        <w:rPr>
          <w:rFonts w:hint="eastAsia"/>
          <w:sz w:val="28"/>
        </w:rPr>
        <w:t>：</w:t>
      </w:r>
    </w:p>
    <w:p w:rsidR="002E3E9C" w:rsidRDefault="002E3E9C" w:rsidP="002E3E9C">
      <w:pPr>
        <w:pStyle w:val="a5"/>
        <w:jc w:val="center"/>
        <w:rPr>
          <w:rFonts w:ascii="Times New Roman" w:eastAsia="黑体" w:hAnsi="Times New Roman"/>
          <w:b/>
          <w:color w:val="000000"/>
          <w:sz w:val="36"/>
          <w:szCs w:val="36"/>
        </w:rPr>
      </w:pPr>
      <w:r>
        <w:rPr>
          <w:rFonts w:ascii="Times New Roman" w:eastAsia="黑体" w:hAnsi="Times New Roman" w:hint="eastAsia"/>
          <w:b/>
          <w:color w:val="000000"/>
          <w:sz w:val="36"/>
          <w:szCs w:val="36"/>
        </w:rPr>
        <w:t>北京中医药大学新奥奖励基金课题招标指南</w:t>
      </w:r>
    </w:p>
    <w:p w:rsidR="002E3E9C" w:rsidRDefault="002E3E9C" w:rsidP="002E3E9C">
      <w:pPr>
        <w:pStyle w:val="a5"/>
        <w:jc w:val="center"/>
        <w:rPr>
          <w:rFonts w:ascii="Times New Roman" w:eastAsia="黑体" w:hAnsi="Times New Roman"/>
          <w:b/>
          <w:color w:val="000000"/>
          <w:sz w:val="36"/>
          <w:szCs w:val="36"/>
        </w:rPr>
      </w:pPr>
    </w:p>
    <w:p w:rsidR="002E3E9C" w:rsidRDefault="002E3E9C" w:rsidP="002E3E9C">
      <w:pPr>
        <w:pStyle w:val="a5"/>
        <w:ind w:firstLineChars="200" w:firstLine="640"/>
        <w:rPr>
          <w:rFonts w:ascii="Times New Roman" w:eastAsia="黑体" w:hAnsi="Times New Roman"/>
          <w:b/>
          <w:color w:val="000000"/>
          <w:sz w:val="36"/>
          <w:szCs w:val="36"/>
        </w:rPr>
      </w:pPr>
      <w:r>
        <w:rPr>
          <w:rFonts w:ascii="??_GB2312" w:eastAsia="Times New Roman" w:hAnsi="Times New Roman"/>
          <w:color w:val="000000"/>
          <w:sz w:val="32"/>
          <w:szCs w:val="32"/>
        </w:rPr>
        <w:t>为了更好的传承和发展中医药文化，探索中医药临床研究，并将其应用于健康管理，新奥集团和北京中医药大学在前期合作的基础上，结合新奥集团健康产业的战略要求，继续进行合作。将围绕“线粒体与气血的关系”、“能量医学与中医疗法”、“中医药改善胰岛功能的配方研究”、“养生保健应用研究”、“经典文献传承”等重点问题招标设立研究课题，进行相关研究培育</w:t>
      </w:r>
      <w:r w:rsidRPr="0095176D">
        <w:rPr>
          <w:rFonts w:hAnsi="宋体" w:hint="eastAsia"/>
          <w:color w:val="000000"/>
          <w:sz w:val="32"/>
          <w:szCs w:val="32"/>
        </w:rPr>
        <w:t>，</w:t>
      </w:r>
      <w:r>
        <w:rPr>
          <w:rFonts w:ascii="??_GB2312" w:eastAsia="Times New Roman" w:hAnsi="Times New Roman"/>
          <w:color w:val="000000"/>
          <w:sz w:val="32"/>
          <w:szCs w:val="32"/>
        </w:rPr>
        <w:t>特制定本指南。</w:t>
      </w:r>
    </w:p>
    <w:p w:rsidR="002E3E9C" w:rsidRDefault="002E3E9C" w:rsidP="002E3E9C">
      <w:pPr>
        <w:pStyle w:val="a5"/>
        <w:spacing w:line="360" w:lineRule="auto"/>
        <w:ind w:firstLineChars="200" w:firstLine="643"/>
        <w:rPr>
          <w:rFonts w:ascii="??_GB2312" w:eastAsia="Times New Roman" w:hAnsi="Times New Roman"/>
          <w:b/>
          <w:bCs/>
          <w:color w:val="000000"/>
          <w:sz w:val="32"/>
          <w:szCs w:val="32"/>
        </w:rPr>
      </w:pPr>
      <w:r>
        <w:rPr>
          <w:rFonts w:ascii="??_GB2312" w:eastAsia="Times New Roman" w:hAnsi="Times New Roman"/>
          <w:b/>
          <w:bCs/>
          <w:color w:val="000000"/>
          <w:sz w:val="32"/>
          <w:szCs w:val="32"/>
        </w:rPr>
        <w:t>一、研究方向</w:t>
      </w:r>
    </w:p>
    <w:p w:rsidR="002E3E9C" w:rsidRDefault="002E3E9C" w:rsidP="002E3E9C">
      <w:pPr>
        <w:pStyle w:val="a5"/>
        <w:spacing w:line="360" w:lineRule="auto"/>
        <w:ind w:firstLineChars="200" w:firstLine="643"/>
        <w:rPr>
          <w:rFonts w:ascii="??_GB2312" w:eastAsia="Times New Roman" w:hAnsi="Times New Roman"/>
          <w:b/>
          <w:bCs/>
          <w:color w:val="000000"/>
          <w:sz w:val="32"/>
          <w:szCs w:val="32"/>
        </w:rPr>
      </w:pPr>
      <w:r>
        <w:rPr>
          <w:rFonts w:ascii="??_GB2312" w:eastAsia="Times New Roman" w:hAnsi="Times New Roman"/>
          <w:b/>
          <w:bCs/>
          <w:color w:val="000000"/>
          <w:sz w:val="32"/>
          <w:szCs w:val="32"/>
        </w:rPr>
        <w:t>1.</w:t>
      </w:r>
      <w:r w:rsidRPr="0095176D">
        <w:rPr>
          <w:rFonts w:hAnsi="宋体" w:hint="eastAsia"/>
          <w:b/>
          <w:bCs/>
          <w:color w:val="000000"/>
          <w:sz w:val="32"/>
          <w:szCs w:val="32"/>
        </w:rPr>
        <w:t>“</w:t>
      </w:r>
      <w:r>
        <w:rPr>
          <w:rFonts w:ascii="??_GB2312" w:eastAsia="Times New Roman" w:hAnsi="Times New Roman"/>
          <w:b/>
          <w:bCs/>
          <w:color w:val="000000"/>
          <w:sz w:val="32"/>
          <w:szCs w:val="32"/>
        </w:rPr>
        <w:t>线粒体与气血的关系</w:t>
      </w:r>
      <w:r w:rsidRPr="007834F8">
        <w:rPr>
          <w:rFonts w:hAnsi="宋体" w:hint="eastAsia"/>
          <w:b/>
          <w:bCs/>
          <w:color w:val="000000"/>
          <w:sz w:val="32"/>
          <w:szCs w:val="32"/>
        </w:rPr>
        <w:t>”</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线粒体是细胞内重要的细胞器之一，将食物中储存的能量通过一系列生物过程转化为可以被直接利用的</w:t>
      </w:r>
      <w:r>
        <w:rPr>
          <w:rFonts w:ascii="??_GB2312" w:eastAsia="Times New Roman" w:hAnsi="Times New Roman"/>
          <w:color w:val="000000"/>
          <w:sz w:val="32"/>
          <w:szCs w:val="32"/>
        </w:rPr>
        <w:t>ATP</w:t>
      </w:r>
      <w:r>
        <w:rPr>
          <w:rFonts w:ascii="??_GB2312" w:eastAsia="Times New Roman" w:hAnsi="Times New Roman"/>
          <w:color w:val="000000"/>
          <w:sz w:val="32"/>
          <w:szCs w:val="32"/>
        </w:rPr>
        <w:t>，是细胞的动力工厂。线粒体的变化和许多疾病有关。线粒体的功能和与“气”具有相似之处，</w:t>
      </w:r>
      <w:r>
        <w:rPr>
          <w:rFonts w:ascii="??_GB2312" w:eastAsia="Times New Roman" w:hAnsi="Times New Roman"/>
          <w:color w:val="000000"/>
          <w:sz w:val="32"/>
          <w:szCs w:val="32"/>
        </w:rPr>
        <w:t>ATP</w:t>
      </w:r>
      <w:r>
        <w:rPr>
          <w:rFonts w:ascii="??_GB2312" w:eastAsia="Times New Roman" w:hAnsi="Times New Roman"/>
          <w:color w:val="000000"/>
          <w:sz w:val="32"/>
          <w:szCs w:val="32"/>
        </w:rPr>
        <w:t>等小分子不仅在能量代谢中至关重要，还参与免疫、炎症和凝血等反应过程；研究线粒体与气血的相关性，揭示中医理论的生物学基础。</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w:t>
      </w:r>
      <w:r>
        <w:rPr>
          <w:rFonts w:ascii="??_GB2312" w:eastAsia="Times New Roman" w:hAnsi="Times New Roman"/>
          <w:color w:val="000000"/>
          <w:sz w:val="32"/>
          <w:szCs w:val="32"/>
        </w:rPr>
        <w:t>1</w:t>
      </w:r>
      <w:r>
        <w:rPr>
          <w:rFonts w:ascii="??_GB2312" w:eastAsia="Times New Roman" w:hAnsi="Times New Roman"/>
          <w:color w:val="000000"/>
          <w:sz w:val="32"/>
          <w:szCs w:val="32"/>
        </w:rPr>
        <w:t>）线粒体特征和中医“证”的相关性。通过临床研究或动物实验，了解不同</w:t>
      </w:r>
      <w:r>
        <w:rPr>
          <w:rFonts w:ascii="??_GB2312" w:eastAsia="Times New Roman" w:hAnsi="Times New Roman"/>
          <w:color w:val="000000"/>
          <w:sz w:val="32"/>
          <w:szCs w:val="32"/>
        </w:rPr>
        <w:t xml:space="preserve"> </w:t>
      </w:r>
      <w:r>
        <w:rPr>
          <w:rFonts w:ascii="??_GB2312" w:eastAsia="Times New Roman" w:hAnsi="Times New Roman"/>
          <w:color w:val="000000"/>
          <w:sz w:val="32"/>
          <w:szCs w:val="32"/>
        </w:rPr>
        <w:t>“证”或气血状态下生物体的线粒体特征，进而通过相关性分析了解“气”和线粒体的具体联系。如何更好地评价人体线粒体功能也是值得探讨的课题。</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lastRenderedPageBreak/>
        <w:t>（</w:t>
      </w:r>
      <w:r>
        <w:rPr>
          <w:rFonts w:ascii="??_GB2312" w:eastAsia="Times New Roman" w:hAnsi="Times New Roman"/>
          <w:color w:val="000000"/>
          <w:sz w:val="32"/>
          <w:szCs w:val="32"/>
        </w:rPr>
        <w:t>2</w:t>
      </w:r>
      <w:r>
        <w:rPr>
          <w:rFonts w:ascii="??_GB2312" w:eastAsia="Times New Roman" w:hAnsi="Times New Roman"/>
          <w:color w:val="000000"/>
          <w:sz w:val="32"/>
          <w:szCs w:val="32"/>
        </w:rPr>
        <w:t>）线粒体相关小分子的生物学效应。这些小分子不仅反映了人体的能量状态，对人体的代谢调控、血液循环、免疫和炎症反应有直接影响，其作用与人体的气血状态有关。</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w:t>
      </w:r>
      <w:r>
        <w:rPr>
          <w:rFonts w:ascii="??_GB2312" w:eastAsia="Times New Roman" w:hAnsi="Times New Roman"/>
          <w:color w:val="000000"/>
          <w:sz w:val="32"/>
          <w:szCs w:val="32"/>
        </w:rPr>
        <w:t>3</w:t>
      </w:r>
      <w:r>
        <w:rPr>
          <w:rFonts w:ascii="??_GB2312" w:eastAsia="Times New Roman" w:hAnsi="Times New Roman"/>
          <w:color w:val="000000"/>
          <w:sz w:val="32"/>
          <w:szCs w:val="32"/>
        </w:rPr>
        <w:t>）中药对线粒体的作用。中草药发挥疗效可能通过影响线粒体而发挥作用，研究中草药或食材甚至小分子物质对线粒体的作用，不仅具有理论意义，也有实用价值。</w:t>
      </w:r>
    </w:p>
    <w:p w:rsidR="002E3E9C" w:rsidRDefault="002E3E9C" w:rsidP="002E3E9C">
      <w:pPr>
        <w:pStyle w:val="a5"/>
        <w:spacing w:line="360" w:lineRule="auto"/>
        <w:ind w:firstLineChars="200" w:firstLine="643"/>
        <w:rPr>
          <w:rFonts w:ascii="??_GB2312" w:eastAsia="Times New Roman" w:hAnsi="Times New Roman"/>
          <w:b/>
          <w:bCs/>
          <w:color w:val="000000"/>
          <w:sz w:val="32"/>
          <w:szCs w:val="32"/>
        </w:rPr>
      </w:pPr>
      <w:r>
        <w:rPr>
          <w:rFonts w:ascii="??_GB2312" w:eastAsia="Times New Roman" w:hAnsi="Times New Roman"/>
          <w:b/>
          <w:bCs/>
          <w:color w:val="000000"/>
          <w:sz w:val="32"/>
          <w:szCs w:val="32"/>
        </w:rPr>
        <w:t>2.</w:t>
      </w:r>
      <w:r w:rsidRPr="0095176D">
        <w:rPr>
          <w:rFonts w:hAnsi="宋体" w:hint="eastAsia"/>
          <w:b/>
          <w:bCs/>
          <w:color w:val="000000"/>
          <w:sz w:val="32"/>
          <w:szCs w:val="32"/>
        </w:rPr>
        <w:t>“</w:t>
      </w:r>
      <w:r>
        <w:rPr>
          <w:rFonts w:ascii="??_GB2312" w:eastAsia="Times New Roman" w:hAnsi="Times New Roman"/>
          <w:b/>
          <w:bCs/>
          <w:color w:val="000000"/>
          <w:sz w:val="32"/>
          <w:szCs w:val="32"/>
        </w:rPr>
        <w:t>能量医学与中医治疗</w:t>
      </w:r>
      <w:r w:rsidRPr="007834F8">
        <w:rPr>
          <w:rFonts w:hAnsi="宋体" w:hint="eastAsia"/>
          <w:b/>
          <w:bCs/>
          <w:color w:val="000000"/>
          <w:sz w:val="32"/>
          <w:szCs w:val="32"/>
        </w:rPr>
        <w:t>”</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能量医学基于对人体能量状态的评估，通过物理能或医学手段维持或恢复能量平衡和健康状态。“气”与“能量”概念相近，均是指不能直接观察、但能对物质实体产生作用的力量（存在）。阐明二者的关系，研究不同中医疗法通过对“气”的调节实现人体能量状态的平衡的机制，将有助于人们从现代科学角度更好地理解中医，为中医更为广泛的传播助力。</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w:t>
      </w:r>
      <w:r>
        <w:rPr>
          <w:rFonts w:ascii="??_GB2312" w:eastAsia="Times New Roman" w:hAnsi="Times New Roman"/>
          <w:color w:val="000000"/>
          <w:sz w:val="32"/>
          <w:szCs w:val="32"/>
        </w:rPr>
        <w:t>1</w:t>
      </w:r>
      <w:r>
        <w:rPr>
          <w:rFonts w:ascii="??_GB2312" w:eastAsia="Times New Roman" w:hAnsi="Times New Roman"/>
          <w:color w:val="000000"/>
          <w:sz w:val="32"/>
          <w:szCs w:val="32"/>
        </w:rPr>
        <w:t>）中医人的能量观。在不同的环境下，“气”有不同的种类和功能，“气”和能量密不可分。然而我们仍需要明确一些基础问题，比如如何从</w:t>
      </w:r>
      <w:r>
        <w:rPr>
          <w:rFonts w:ascii="??_GB2312" w:eastAsia="Times New Roman" w:hAnsi="Times New Roman"/>
          <w:color w:val="000000"/>
          <w:sz w:val="32"/>
          <w:szCs w:val="32"/>
        </w:rPr>
        <w:t xml:space="preserve"> </w:t>
      </w:r>
      <w:r>
        <w:rPr>
          <w:rFonts w:ascii="??_GB2312" w:eastAsia="Times New Roman" w:hAnsi="Times New Roman"/>
          <w:color w:val="000000"/>
          <w:sz w:val="32"/>
          <w:szCs w:val="32"/>
        </w:rPr>
        <w:t>“气”的角度理解能量及其平衡、如何从能量的角度理解“气”及其平衡、人体的能量如何表征等等。在此基础上，阐述人体能量状态随着时辰、节气以及季节的变化情况。这部分内容可以为文献理论论证，也可以开展基础实验研究。</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w:t>
      </w:r>
      <w:r>
        <w:rPr>
          <w:rFonts w:ascii="??_GB2312" w:eastAsia="Times New Roman" w:hAnsi="Times New Roman"/>
          <w:color w:val="000000"/>
          <w:sz w:val="32"/>
          <w:szCs w:val="32"/>
        </w:rPr>
        <w:t>2</w:t>
      </w:r>
      <w:r>
        <w:rPr>
          <w:rFonts w:ascii="??_GB2312" w:eastAsia="Times New Roman" w:hAnsi="Times New Roman"/>
          <w:color w:val="000000"/>
          <w:sz w:val="32"/>
          <w:szCs w:val="32"/>
        </w:rPr>
        <w:t>）针灸、推拿、拔罐和气功等中医疗法对身体能量的影响。中医的疗效是不容置疑的，其疗愈的机理尚需要深入</w:t>
      </w:r>
      <w:r>
        <w:rPr>
          <w:rFonts w:ascii="??_GB2312" w:eastAsia="Times New Roman" w:hAnsi="Times New Roman"/>
          <w:color w:val="000000"/>
          <w:sz w:val="32"/>
          <w:szCs w:val="32"/>
        </w:rPr>
        <w:lastRenderedPageBreak/>
        <w:t>研究。研究这些手段对人体物质和能量代谢的影响，包括对线粒体作用的研究，将有利于中医理论的发展和完善以及中医实践的更广泛传播。</w:t>
      </w:r>
    </w:p>
    <w:p w:rsidR="002E3E9C" w:rsidRDefault="002E3E9C" w:rsidP="002E3E9C">
      <w:pPr>
        <w:pStyle w:val="a5"/>
        <w:spacing w:line="360" w:lineRule="auto"/>
        <w:ind w:firstLineChars="200" w:firstLine="643"/>
        <w:rPr>
          <w:rFonts w:ascii="??_GB2312" w:eastAsia="Times New Roman" w:hAnsi="Times New Roman"/>
          <w:b/>
          <w:bCs/>
          <w:color w:val="000000"/>
          <w:sz w:val="32"/>
          <w:szCs w:val="32"/>
        </w:rPr>
      </w:pPr>
      <w:r>
        <w:rPr>
          <w:rFonts w:ascii="??_GB2312" w:eastAsia="Times New Roman" w:hAnsi="Times New Roman"/>
          <w:b/>
          <w:bCs/>
          <w:color w:val="000000"/>
          <w:sz w:val="32"/>
          <w:szCs w:val="32"/>
        </w:rPr>
        <w:t xml:space="preserve">3. </w:t>
      </w:r>
      <w:r w:rsidRPr="0095176D">
        <w:rPr>
          <w:rFonts w:hAnsi="宋体" w:hint="eastAsia"/>
          <w:b/>
          <w:bCs/>
          <w:color w:val="000000"/>
          <w:sz w:val="32"/>
          <w:szCs w:val="32"/>
        </w:rPr>
        <w:t>“</w:t>
      </w:r>
      <w:r>
        <w:rPr>
          <w:rFonts w:ascii="??_GB2312" w:eastAsia="Times New Roman" w:hAnsi="Times New Roman"/>
          <w:b/>
          <w:bCs/>
          <w:color w:val="000000"/>
          <w:sz w:val="32"/>
          <w:szCs w:val="32"/>
        </w:rPr>
        <w:t>中医药改善胰岛功能的配方研究</w:t>
      </w:r>
      <w:r w:rsidRPr="007834F8">
        <w:rPr>
          <w:rFonts w:hAnsi="宋体" w:hint="eastAsia"/>
          <w:b/>
          <w:bCs/>
          <w:color w:val="000000"/>
          <w:sz w:val="32"/>
          <w:szCs w:val="32"/>
        </w:rPr>
        <w:t>”</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此研究主要探讨和研究中医药预防、改善和修复胰岛功能受损的有效地、可评估的配方，可为分证型的配方，也可是普适性的配方；其中还包含评估时所需的胰岛功能检测指标和对应仪器的介绍和阐述（评估方法可为仪器，也可为问卷形式）。</w:t>
      </w:r>
    </w:p>
    <w:p w:rsidR="002E3E9C" w:rsidRDefault="002E3E9C" w:rsidP="002E3E9C">
      <w:pPr>
        <w:pStyle w:val="a5"/>
        <w:spacing w:line="360" w:lineRule="auto"/>
        <w:ind w:firstLineChars="200" w:firstLine="643"/>
        <w:rPr>
          <w:rFonts w:ascii="??_GB2312" w:eastAsia="Times New Roman" w:hAnsi="Times New Roman"/>
          <w:b/>
          <w:bCs/>
          <w:color w:val="000000"/>
          <w:sz w:val="32"/>
          <w:szCs w:val="32"/>
        </w:rPr>
      </w:pPr>
      <w:r>
        <w:rPr>
          <w:rFonts w:ascii="??_GB2312" w:eastAsia="Times New Roman" w:hAnsi="Times New Roman"/>
          <w:b/>
          <w:bCs/>
          <w:color w:val="000000"/>
          <w:sz w:val="32"/>
          <w:szCs w:val="32"/>
        </w:rPr>
        <w:t xml:space="preserve">4. </w:t>
      </w:r>
      <w:r w:rsidRPr="0095176D">
        <w:rPr>
          <w:rFonts w:hAnsi="宋体" w:hint="eastAsia"/>
          <w:b/>
          <w:bCs/>
          <w:color w:val="000000"/>
          <w:sz w:val="32"/>
          <w:szCs w:val="32"/>
        </w:rPr>
        <w:t>“</w:t>
      </w:r>
      <w:r>
        <w:rPr>
          <w:rFonts w:ascii="??_GB2312" w:eastAsia="Times New Roman" w:hAnsi="Times New Roman"/>
          <w:b/>
          <w:bCs/>
          <w:color w:val="000000"/>
          <w:sz w:val="32"/>
          <w:szCs w:val="32"/>
        </w:rPr>
        <w:t>养生保健应用研究</w:t>
      </w:r>
      <w:r w:rsidRPr="007834F8">
        <w:rPr>
          <w:rFonts w:hAnsi="宋体" w:hint="eastAsia"/>
          <w:b/>
          <w:bCs/>
          <w:color w:val="000000"/>
          <w:sz w:val="32"/>
          <w:szCs w:val="32"/>
        </w:rPr>
        <w:t>”</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用于资助在中医养生应用方面已有较好的研究基础或已取得成绩或进展的研究项目，重点开展体质健康、治未病、慢病防控、中医综合调理方案或健康调养方案研究及中医传统养生方法的应用研究和中医预防保健研究等。</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w:t>
      </w:r>
      <w:r>
        <w:rPr>
          <w:rFonts w:ascii="??_GB2312" w:eastAsia="Times New Roman" w:hAnsi="Times New Roman"/>
          <w:color w:val="000000"/>
          <w:sz w:val="32"/>
          <w:szCs w:val="32"/>
        </w:rPr>
        <w:t>1</w:t>
      </w:r>
      <w:r>
        <w:rPr>
          <w:rFonts w:ascii="??_GB2312" w:eastAsia="Times New Roman" w:hAnsi="Times New Roman"/>
          <w:color w:val="000000"/>
          <w:sz w:val="32"/>
          <w:szCs w:val="32"/>
        </w:rPr>
        <w:t>）女性抗衰的中医调治研究：</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此研究主要从生理周期（经前、经后）的角度，探讨改善卵巢功能，延缓衰老的有效的中医药配方或中医理疗手法（包含针灸、拔罐、按摩、刮痧等）。</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w:t>
      </w:r>
      <w:r>
        <w:rPr>
          <w:rFonts w:ascii="??_GB2312" w:eastAsia="Times New Roman" w:hAnsi="Times New Roman"/>
          <w:color w:val="000000"/>
          <w:sz w:val="32"/>
          <w:szCs w:val="32"/>
        </w:rPr>
        <w:t>2</w:t>
      </w:r>
      <w:r>
        <w:rPr>
          <w:rFonts w:ascii="??_GB2312" w:eastAsia="Times New Roman" w:hAnsi="Times New Roman"/>
          <w:color w:val="000000"/>
          <w:sz w:val="32"/>
          <w:szCs w:val="32"/>
        </w:rPr>
        <w:t>）应用中医药进行排毒研究：</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随着环境污染日益加重，农药超标使用，食品添加剂过量应用，人体内存留的重金属等有毒化学物质越来越多，此处的排毒主要指清除人体内残留的重金属。</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lastRenderedPageBreak/>
        <w:t>此研究涉及的重金属主要包括汞、铅、镉以及类金属砷，这些重金属不能被生物降解，相反却能在食物链的生物放大作用下，成千百倍地富集，最后进入人体。重金属在人体内能和蛋白质及酶等发生强烈的相互作用，使它们失去活性，也可能在人体的某些器官中累积，造成慢性中毒。如铅除部分通过粪便、血液排除体外，其余会在数小时后溶入血液中，阻碍血液合成，导致贫血、发育迟缓、智力低下等。</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此研究主要探讨中医药排毒的配方，寻找中医药在此方面的独特疗效。</w:t>
      </w:r>
    </w:p>
    <w:p w:rsidR="002E3E9C" w:rsidRDefault="002E3E9C" w:rsidP="002E3E9C">
      <w:pPr>
        <w:pStyle w:val="a5"/>
        <w:numPr>
          <w:ilvl w:val="0"/>
          <w:numId w:val="1"/>
        </w:numPr>
        <w:spacing w:line="360" w:lineRule="auto"/>
        <w:ind w:firstLineChars="200" w:firstLine="643"/>
        <w:rPr>
          <w:rFonts w:ascii="??_GB2312" w:eastAsia="Times New Roman" w:hAnsi="Times New Roman"/>
          <w:b/>
          <w:bCs/>
          <w:color w:val="000000"/>
          <w:sz w:val="32"/>
          <w:szCs w:val="32"/>
        </w:rPr>
      </w:pPr>
      <w:r w:rsidRPr="0095176D">
        <w:rPr>
          <w:rFonts w:hAnsi="宋体" w:hint="eastAsia"/>
          <w:b/>
          <w:bCs/>
          <w:color w:val="000000"/>
          <w:sz w:val="32"/>
          <w:szCs w:val="32"/>
        </w:rPr>
        <w:t>“</w:t>
      </w:r>
      <w:r>
        <w:rPr>
          <w:rFonts w:ascii="??_GB2312" w:eastAsia="Times New Roman" w:hAnsi="Times New Roman"/>
          <w:b/>
          <w:bCs/>
          <w:color w:val="000000"/>
          <w:sz w:val="32"/>
          <w:szCs w:val="32"/>
        </w:rPr>
        <w:t>经典文献传承</w:t>
      </w:r>
      <w:r w:rsidRPr="007834F8">
        <w:rPr>
          <w:rFonts w:hAnsi="宋体" w:hint="eastAsia"/>
          <w:b/>
          <w:bCs/>
          <w:color w:val="000000"/>
          <w:sz w:val="32"/>
          <w:szCs w:val="32"/>
        </w:rPr>
        <w:t>”</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w:t>
      </w:r>
      <w:r>
        <w:rPr>
          <w:rFonts w:ascii="??_GB2312" w:eastAsia="Times New Roman" w:hAnsi="Times New Roman"/>
          <w:color w:val="000000"/>
          <w:sz w:val="32"/>
          <w:szCs w:val="32"/>
        </w:rPr>
        <w:t>1</w:t>
      </w:r>
      <w:r>
        <w:rPr>
          <w:rFonts w:ascii="??_GB2312" w:eastAsia="Times New Roman" w:hAnsi="Times New Roman"/>
          <w:color w:val="000000"/>
          <w:sz w:val="32"/>
          <w:szCs w:val="32"/>
        </w:rPr>
        <w:t>）经典传承</w:t>
      </w:r>
      <w:r w:rsidRPr="0095176D">
        <w:rPr>
          <w:rFonts w:hAnsi="宋体" w:hint="eastAsia"/>
          <w:color w:val="000000"/>
          <w:sz w:val="32"/>
          <w:szCs w:val="32"/>
        </w:rPr>
        <w:t>：</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整理关于高血糖（糖尿病）、高血脂、高血压等心脑血管疾病不同辨证分型的不少于</w:t>
      </w:r>
      <w:r>
        <w:rPr>
          <w:rFonts w:ascii="??_GB2312" w:eastAsia="Times New Roman" w:hAnsi="Times New Roman"/>
          <w:color w:val="000000"/>
          <w:sz w:val="32"/>
          <w:szCs w:val="32"/>
        </w:rPr>
        <w:t>5</w:t>
      </w:r>
      <w:r>
        <w:rPr>
          <w:rFonts w:ascii="??_GB2312" w:eastAsia="Times New Roman" w:hAnsi="Times New Roman"/>
          <w:color w:val="000000"/>
          <w:sz w:val="32"/>
          <w:szCs w:val="32"/>
        </w:rPr>
        <w:t>位国医大师的经验方，可以综述报告的形式呈现。对经验方进行循证研究，整理出具有临床根据的普适性处方，可为分证型的普适性处方，也可是统一的普适性处方。</w:t>
      </w:r>
    </w:p>
    <w:p w:rsidR="002E3E9C" w:rsidRDefault="002E3E9C" w:rsidP="002E3E9C">
      <w:pPr>
        <w:ind w:firstLineChars="200" w:firstLine="640"/>
        <w:jc w:val="left"/>
        <w:rPr>
          <w:rFonts w:ascii="??_GB2312" w:eastAsia="Times New Roman"/>
          <w:color w:val="000000"/>
          <w:kern w:val="0"/>
          <w:sz w:val="32"/>
          <w:szCs w:val="32"/>
        </w:rPr>
      </w:pPr>
      <w:r>
        <w:rPr>
          <w:rFonts w:ascii="??_GB2312" w:eastAsia="Times New Roman"/>
          <w:color w:val="000000"/>
          <w:kern w:val="0"/>
          <w:sz w:val="32"/>
          <w:szCs w:val="32"/>
        </w:rPr>
        <w:t>（</w:t>
      </w:r>
      <w:r>
        <w:rPr>
          <w:rFonts w:ascii="??_GB2312" w:eastAsia="Times New Roman"/>
          <w:color w:val="000000"/>
          <w:kern w:val="0"/>
          <w:sz w:val="32"/>
          <w:szCs w:val="32"/>
        </w:rPr>
        <w:t>2</w:t>
      </w:r>
      <w:r>
        <w:rPr>
          <w:rFonts w:ascii="??_GB2312" w:eastAsia="Times New Roman"/>
          <w:color w:val="000000"/>
          <w:kern w:val="0"/>
          <w:sz w:val="32"/>
          <w:szCs w:val="32"/>
        </w:rPr>
        <w:t>）（文献）研究：</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用于资助在中医药经典研究、中医药文化传承和开展古代、经典理论文献研究，中医学派传承研究、临床应用思路研究等方面的团队对和个人。</w:t>
      </w:r>
    </w:p>
    <w:p w:rsidR="002E3E9C" w:rsidRDefault="002E3E9C" w:rsidP="002E3E9C">
      <w:pPr>
        <w:pStyle w:val="a5"/>
        <w:spacing w:line="360" w:lineRule="auto"/>
        <w:ind w:firstLineChars="200" w:firstLine="643"/>
        <w:rPr>
          <w:rFonts w:ascii="??_GB2312" w:eastAsia="Times New Roman" w:hAnsi="Times New Roman"/>
          <w:b/>
          <w:bCs/>
          <w:color w:val="000000"/>
          <w:sz w:val="32"/>
          <w:szCs w:val="32"/>
        </w:rPr>
      </w:pPr>
      <w:r>
        <w:rPr>
          <w:rFonts w:ascii="??_GB2312" w:eastAsia="Times New Roman" w:hAnsi="Times New Roman"/>
          <w:b/>
          <w:bCs/>
          <w:color w:val="000000"/>
          <w:sz w:val="32"/>
          <w:szCs w:val="32"/>
        </w:rPr>
        <w:t>二、</w:t>
      </w:r>
      <w:r>
        <w:rPr>
          <w:rFonts w:ascii="??_GB2312" w:eastAsia="Times New Roman" w:hAnsi="Times New Roman"/>
          <w:b/>
          <w:bCs/>
          <w:color w:val="000000"/>
          <w:sz w:val="32"/>
          <w:szCs w:val="32"/>
        </w:rPr>
        <w:tab/>
      </w:r>
      <w:r>
        <w:rPr>
          <w:rFonts w:ascii="??_GB2312" w:eastAsia="Times New Roman" w:hAnsi="Times New Roman"/>
          <w:b/>
          <w:bCs/>
          <w:color w:val="000000"/>
          <w:sz w:val="32"/>
          <w:szCs w:val="32"/>
        </w:rPr>
        <w:t>申报条件和要求</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1</w:t>
      </w:r>
      <w:r>
        <w:rPr>
          <w:rFonts w:ascii="??_GB2312" w:eastAsia="Times New Roman" w:hAnsi="Times New Roman"/>
          <w:color w:val="000000"/>
          <w:sz w:val="32"/>
          <w:szCs w:val="32"/>
        </w:rPr>
        <w:t>．第一申请人必须是实际主持和从事研究工作的在职</w:t>
      </w:r>
      <w:r>
        <w:rPr>
          <w:rFonts w:ascii="??_GB2312" w:eastAsia="Times New Roman" w:hAnsi="Times New Roman"/>
          <w:color w:val="000000"/>
          <w:sz w:val="32"/>
          <w:szCs w:val="32"/>
        </w:rPr>
        <w:lastRenderedPageBreak/>
        <w:t>人员，</w:t>
      </w:r>
      <w:bookmarkStart w:id="0" w:name="_GoBack"/>
      <w:r w:rsidRPr="009A1DAD">
        <w:rPr>
          <w:rFonts w:ascii="??_GB2312" w:eastAsia="Times New Roman" w:hAnsi="Times New Roman"/>
          <w:b/>
          <w:color w:val="FF0000"/>
          <w:sz w:val="32"/>
          <w:szCs w:val="32"/>
        </w:rPr>
        <w:t>年龄不超过</w:t>
      </w:r>
      <w:r w:rsidRPr="009A1DAD">
        <w:rPr>
          <w:rFonts w:ascii="??_GB2312" w:eastAsia="Times New Roman" w:hAnsi="Times New Roman"/>
          <w:b/>
          <w:color w:val="FF0000"/>
          <w:sz w:val="32"/>
          <w:szCs w:val="32"/>
        </w:rPr>
        <w:t>50</w:t>
      </w:r>
      <w:r w:rsidRPr="009A1DAD">
        <w:rPr>
          <w:rFonts w:ascii="??_GB2312" w:eastAsia="Times New Roman" w:hAnsi="Times New Roman"/>
          <w:b/>
          <w:color w:val="FF0000"/>
          <w:sz w:val="32"/>
          <w:szCs w:val="32"/>
        </w:rPr>
        <w:t>周岁</w:t>
      </w:r>
      <w:bookmarkEnd w:id="0"/>
      <w:r>
        <w:rPr>
          <w:rFonts w:ascii="??_GB2312" w:eastAsia="Times New Roman" w:hAnsi="Times New Roman"/>
          <w:color w:val="000000"/>
          <w:sz w:val="32"/>
          <w:szCs w:val="32"/>
        </w:rPr>
        <w:t>。</w:t>
      </w:r>
      <w:r w:rsidRPr="009A1DAD">
        <w:rPr>
          <w:rFonts w:ascii="??_GB2312" w:eastAsia="Times New Roman" w:hAnsi="Times New Roman"/>
          <w:b/>
          <w:color w:val="FF0000"/>
          <w:sz w:val="32"/>
          <w:szCs w:val="32"/>
        </w:rPr>
        <w:t>凡主持有在研校级以上课题（含校级课题</w:t>
      </w:r>
      <w:r w:rsidRPr="009A1DAD">
        <w:rPr>
          <w:rFonts w:hAnsi="宋体" w:hint="eastAsia"/>
          <w:b/>
          <w:color w:val="FF0000"/>
          <w:sz w:val="32"/>
          <w:szCs w:val="32"/>
        </w:rPr>
        <w:t>，</w:t>
      </w:r>
      <w:r w:rsidRPr="009A1DAD">
        <w:rPr>
          <w:rFonts w:ascii="??_GB2312" w:eastAsia="Times New Roman" w:hAnsi="Times New Roman"/>
          <w:b/>
          <w:color w:val="FF0000"/>
          <w:sz w:val="32"/>
          <w:szCs w:val="32"/>
        </w:rPr>
        <w:t>后续研究计划除外）的人员不予资助。</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sidRPr="00142657">
        <w:rPr>
          <w:rFonts w:ascii="??_GB2312" w:eastAsia="Times New Roman" w:hAnsi="Times New Roman"/>
          <w:color w:val="000000"/>
          <w:sz w:val="32"/>
          <w:szCs w:val="32"/>
        </w:rPr>
        <w:t>2</w:t>
      </w:r>
      <w:r w:rsidRPr="00142657">
        <w:rPr>
          <w:rFonts w:ascii="??_GB2312" w:eastAsia="Times New Roman" w:hAnsi="Times New Roman"/>
          <w:color w:val="000000"/>
          <w:sz w:val="32"/>
          <w:szCs w:val="32"/>
        </w:rPr>
        <w:t>．本次申报的课题必须产权明晰，与合作单位签有相关协议。</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 xml:space="preserve">3. </w:t>
      </w:r>
      <w:r>
        <w:rPr>
          <w:rFonts w:ascii="??_GB2312" w:eastAsia="Times New Roman" w:hAnsi="Times New Roman"/>
          <w:color w:val="000000"/>
          <w:sz w:val="32"/>
          <w:szCs w:val="32"/>
        </w:rPr>
        <w:t>课题申请人需承诺课题的研究成果为职务发明，不得自行转让，并保证合理使用经费。</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 xml:space="preserve">4. </w:t>
      </w:r>
      <w:r>
        <w:rPr>
          <w:rFonts w:ascii="??_GB2312" w:eastAsia="Times New Roman" w:hAnsi="Times New Roman"/>
          <w:color w:val="000000"/>
          <w:sz w:val="32"/>
          <w:szCs w:val="32"/>
        </w:rPr>
        <w:t>本次课题申请只受理由二级单位汇总申报的申请书，不受理个人申请。</w:t>
      </w:r>
    </w:p>
    <w:p w:rsidR="002E3E9C" w:rsidRDefault="002E3E9C" w:rsidP="002E3E9C">
      <w:pPr>
        <w:pStyle w:val="a5"/>
        <w:spacing w:line="360" w:lineRule="auto"/>
        <w:ind w:firstLineChars="200" w:firstLine="640"/>
        <w:rPr>
          <w:rFonts w:ascii="??_GB2312" w:eastAsia="Times New Roman" w:hAnsi="Times New Roman"/>
          <w:color w:val="000000"/>
          <w:sz w:val="32"/>
          <w:szCs w:val="32"/>
        </w:rPr>
      </w:pPr>
      <w:r>
        <w:rPr>
          <w:rFonts w:ascii="??_GB2312" w:eastAsia="Times New Roman" w:hAnsi="Times New Roman"/>
          <w:color w:val="000000"/>
          <w:sz w:val="32"/>
          <w:szCs w:val="32"/>
        </w:rPr>
        <w:t xml:space="preserve">5. </w:t>
      </w:r>
      <w:r>
        <w:rPr>
          <w:rFonts w:ascii="??_GB2312" w:eastAsia="Times New Roman" w:hAnsi="Times New Roman"/>
          <w:color w:val="000000"/>
          <w:sz w:val="32"/>
          <w:szCs w:val="32"/>
        </w:rPr>
        <w:t>大学科技处负责受理并组织专家进行评审。经专家评审通过的项目报“基金”决策委员会认定。</w:t>
      </w:r>
    </w:p>
    <w:p w:rsidR="002E3E9C" w:rsidRDefault="002E3E9C" w:rsidP="002E3E9C">
      <w:pPr>
        <w:pStyle w:val="a5"/>
        <w:spacing w:line="360" w:lineRule="auto"/>
        <w:ind w:firstLineChars="200" w:firstLine="643"/>
        <w:rPr>
          <w:rFonts w:ascii="??_GB2312" w:eastAsia="Times New Roman" w:hAnsi="Times New Roman"/>
          <w:color w:val="000000"/>
          <w:sz w:val="32"/>
          <w:szCs w:val="32"/>
        </w:rPr>
      </w:pPr>
      <w:r>
        <w:rPr>
          <w:rFonts w:ascii="??_GB2312" w:eastAsia="Times New Roman" w:hAnsi="Times New Roman"/>
          <w:b/>
          <w:bCs/>
          <w:color w:val="000000"/>
          <w:sz w:val="32"/>
          <w:szCs w:val="32"/>
        </w:rPr>
        <w:t>三、项目实施：</w:t>
      </w:r>
      <w:r>
        <w:rPr>
          <w:rFonts w:ascii="??_GB2312" w:eastAsia="Times New Roman" w:hAnsi="Times New Roman"/>
          <w:color w:val="000000"/>
          <w:sz w:val="32"/>
          <w:szCs w:val="32"/>
        </w:rPr>
        <w:t>2</w:t>
      </w:r>
      <w:r>
        <w:rPr>
          <w:rFonts w:ascii="??_GB2312" w:eastAsia="Times New Roman" w:hAnsi="Times New Roman"/>
          <w:color w:val="000000"/>
          <w:sz w:val="32"/>
          <w:szCs w:val="32"/>
        </w:rPr>
        <w:t>年</w:t>
      </w:r>
    </w:p>
    <w:p w:rsidR="002E3E9C" w:rsidRDefault="002E3E9C" w:rsidP="002E3E9C">
      <w:pPr>
        <w:pStyle w:val="a5"/>
        <w:spacing w:line="360" w:lineRule="auto"/>
        <w:ind w:firstLineChars="200" w:firstLine="643"/>
        <w:rPr>
          <w:rFonts w:ascii="??_GB2312" w:eastAsia="Times New Roman" w:hAnsi="Times New Roman"/>
          <w:b/>
          <w:bCs/>
          <w:color w:val="000000"/>
          <w:sz w:val="32"/>
          <w:szCs w:val="32"/>
        </w:rPr>
      </w:pPr>
      <w:r>
        <w:rPr>
          <w:rFonts w:ascii="??_GB2312" w:eastAsia="Times New Roman" w:hAnsi="Times New Roman"/>
          <w:b/>
          <w:bCs/>
          <w:color w:val="000000"/>
          <w:sz w:val="32"/>
          <w:szCs w:val="32"/>
        </w:rPr>
        <w:t>四、资助额度</w:t>
      </w:r>
    </w:p>
    <w:p w:rsidR="002E3E9C" w:rsidRDefault="002E3E9C" w:rsidP="002E3E9C">
      <w:pPr>
        <w:pStyle w:val="a5"/>
        <w:spacing w:line="360" w:lineRule="auto"/>
        <w:ind w:firstLineChars="200" w:firstLine="640"/>
        <w:rPr>
          <w:rFonts w:ascii="Times New Roman" w:hAnsi="Times New Roman"/>
          <w:color w:val="000000"/>
          <w:sz w:val="32"/>
          <w:szCs w:val="32"/>
        </w:rPr>
      </w:pPr>
      <w:r>
        <w:rPr>
          <w:rFonts w:ascii="??_GB2312" w:eastAsia="Times New Roman" w:hAnsi="Times New Roman"/>
          <w:color w:val="000000"/>
          <w:sz w:val="32"/>
          <w:szCs w:val="32"/>
        </w:rPr>
        <w:t>“线粒体与气血的关系”</w:t>
      </w:r>
      <w:r>
        <w:rPr>
          <w:rFonts w:ascii="??_GB2312" w:eastAsia="Times New Roman"/>
          <w:color w:val="000000"/>
          <w:sz w:val="32"/>
          <w:szCs w:val="32"/>
        </w:rPr>
        <w:t>（</w:t>
      </w:r>
      <w:r>
        <w:rPr>
          <w:rFonts w:ascii="??_GB2312" w:eastAsia="Times New Roman"/>
          <w:color w:val="000000"/>
          <w:sz w:val="32"/>
          <w:szCs w:val="32"/>
        </w:rPr>
        <w:t>8</w:t>
      </w:r>
      <w:r>
        <w:rPr>
          <w:rFonts w:ascii="微软雅黑" w:eastAsia="微软雅黑" w:hAnsi="微软雅黑" w:cs="微软雅黑"/>
          <w:color w:val="000000"/>
          <w:sz w:val="32"/>
          <w:szCs w:val="32"/>
        </w:rPr>
        <w:t>~</w:t>
      </w:r>
      <w:r>
        <w:rPr>
          <w:rFonts w:ascii="??_GB2312" w:eastAsia="Times New Roman"/>
          <w:color w:val="000000"/>
          <w:sz w:val="32"/>
          <w:szCs w:val="32"/>
        </w:rPr>
        <w:t>10</w:t>
      </w:r>
      <w:r>
        <w:rPr>
          <w:rFonts w:ascii="??_GB2312" w:eastAsia="Times New Roman"/>
          <w:color w:val="000000"/>
          <w:sz w:val="32"/>
          <w:szCs w:val="32"/>
        </w:rPr>
        <w:t>万元）</w:t>
      </w:r>
      <w:r>
        <w:rPr>
          <w:rFonts w:ascii="??_GB2312" w:eastAsia="Times New Roman" w:hAnsi="Times New Roman"/>
          <w:color w:val="000000"/>
          <w:sz w:val="32"/>
          <w:szCs w:val="32"/>
        </w:rPr>
        <w:t>、“能量医学与中医疗法”</w:t>
      </w:r>
      <w:r>
        <w:rPr>
          <w:rFonts w:ascii="??_GB2312" w:eastAsia="Times New Roman"/>
          <w:color w:val="000000"/>
          <w:sz w:val="32"/>
          <w:szCs w:val="32"/>
        </w:rPr>
        <w:t>（</w:t>
      </w:r>
      <w:r>
        <w:rPr>
          <w:rFonts w:ascii="??_GB2312" w:eastAsia="Times New Roman"/>
          <w:color w:val="000000"/>
          <w:sz w:val="32"/>
          <w:szCs w:val="32"/>
        </w:rPr>
        <w:t>8</w:t>
      </w:r>
      <w:r>
        <w:rPr>
          <w:rFonts w:ascii="微软雅黑" w:eastAsia="微软雅黑" w:hAnsi="微软雅黑" w:cs="微软雅黑"/>
          <w:color w:val="000000"/>
          <w:sz w:val="32"/>
          <w:szCs w:val="32"/>
        </w:rPr>
        <w:t>~</w:t>
      </w:r>
      <w:r>
        <w:rPr>
          <w:rFonts w:ascii="??_GB2312" w:eastAsia="Times New Roman"/>
          <w:color w:val="000000"/>
          <w:sz w:val="32"/>
          <w:szCs w:val="32"/>
        </w:rPr>
        <w:t>10</w:t>
      </w:r>
      <w:r>
        <w:rPr>
          <w:rFonts w:ascii="??_GB2312" w:eastAsia="Times New Roman"/>
          <w:color w:val="000000"/>
          <w:sz w:val="32"/>
          <w:szCs w:val="32"/>
        </w:rPr>
        <w:t>万元）</w:t>
      </w:r>
      <w:r>
        <w:rPr>
          <w:rFonts w:ascii="??_GB2312" w:eastAsia="Times New Roman" w:hAnsi="Times New Roman"/>
          <w:color w:val="000000"/>
          <w:sz w:val="32"/>
          <w:szCs w:val="32"/>
        </w:rPr>
        <w:t>、“中医药改善胰岛功能的配方研究”</w:t>
      </w:r>
      <w:r>
        <w:rPr>
          <w:rFonts w:ascii="??_GB2312" w:eastAsia="Times New Roman"/>
          <w:color w:val="000000"/>
          <w:sz w:val="32"/>
          <w:szCs w:val="32"/>
        </w:rPr>
        <w:t xml:space="preserve"> </w:t>
      </w:r>
      <w:r>
        <w:rPr>
          <w:rFonts w:ascii="??_GB2312" w:eastAsia="Times New Roman"/>
          <w:color w:val="000000"/>
          <w:sz w:val="32"/>
          <w:szCs w:val="32"/>
        </w:rPr>
        <w:t>（</w:t>
      </w:r>
      <w:r>
        <w:rPr>
          <w:rFonts w:ascii="??_GB2312" w:eastAsia="Times New Roman"/>
          <w:color w:val="000000"/>
          <w:sz w:val="32"/>
          <w:szCs w:val="32"/>
        </w:rPr>
        <w:t>8</w:t>
      </w:r>
      <w:r>
        <w:rPr>
          <w:rFonts w:ascii="微软雅黑" w:eastAsia="微软雅黑" w:hAnsi="微软雅黑" w:cs="微软雅黑"/>
          <w:color w:val="000000"/>
          <w:sz w:val="32"/>
          <w:szCs w:val="32"/>
        </w:rPr>
        <w:t>~</w:t>
      </w:r>
      <w:r>
        <w:rPr>
          <w:rFonts w:ascii="??_GB2312" w:eastAsia="Times New Roman"/>
          <w:color w:val="000000"/>
          <w:sz w:val="32"/>
          <w:szCs w:val="32"/>
        </w:rPr>
        <w:t>10</w:t>
      </w:r>
      <w:r>
        <w:rPr>
          <w:rFonts w:ascii="??_GB2312" w:eastAsia="Times New Roman"/>
          <w:color w:val="000000"/>
          <w:sz w:val="32"/>
          <w:szCs w:val="32"/>
        </w:rPr>
        <w:t>万元）</w:t>
      </w:r>
      <w:r>
        <w:rPr>
          <w:rFonts w:ascii="??_GB2312" w:eastAsia="Times New Roman" w:hAnsi="Times New Roman"/>
          <w:color w:val="000000"/>
          <w:sz w:val="32"/>
          <w:szCs w:val="32"/>
        </w:rPr>
        <w:t>、“养生保健应用研究”</w:t>
      </w:r>
      <w:r>
        <w:rPr>
          <w:rFonts w:ascii="??_GB2312" w:eastAsia="Times New Roman"/>
          <w:color w:val="000000"/>
          <w:sz w:val="32"/>
          <w:szCs w:val="32"/>
        </w:rPr>
        <w:t>（</w:t>
      </w:r>
      <w:r>
        <w:rPr>
          <w:rFonts w:ascii="??_GB2312" w:eastAsia="Times New Roman"/>
          <w:color w:val="000000"/>
          <w:sz w:val="32"/>
          <w:szCs w:val="32"/>
        </w:rPr>
        <w:t>8</w:t>
      </w:r>
      <w:r>
        <w:rPr>
          <w:rFonts w:ascii="微软雅黑" w:eastAsia="微软雅黑" w:hAnsi="微软雅黑" w:cs="微软雅黑"/>
          <w:color w:val="000000"/>
          <w:sz w:val="32"/>
          <w:szCs w:val="32"/>
        </w:rPr>
        <w:t>~</w:t>
      </w:r>
      <w:r>
        <w:rPr>
          <w:rFonts w:ascii="??_GB2312" w:eastAsia="Times New Roman"/>
          <w:color w:val="000000"/>
          <w:sz w:val="32"/>
          <w:szCs w:val="32"/>
        </w:rPr>
        <w:t>10</w:t>
      </w:r>
      <w:r>
        <w:rPr>
          <w:rFonts w:ascii="??_GB2312" w:eastAsia="Times New Roman"/>
          <w:color w:val="000000"/>
          <w:sz w:val="32"/>
          <w:szCs w:val="32"/>
        </w:rPr>
        <w:t>万元）、</w:t>
      </w:r>
      <w:r>
        <w:rPr>
          <w:rFonts w:ascii="??_GB2312" w:eastAsia="Times New Roman" w:hAnsi="Times New Roman"/>
          <w:color w:val="000000"/>
          <w:sz w:val="32"/>
          <w:szCs w:val="32"/>
        </w:rPr>
        <w:t>“经典文献传承”</w:t>
      </w:r>
      <w:r>
        <w:rPr>
          <w:rFonts w:ascii="??_GB2312" w:eastAsia="Times New Roman"/>
          <w:color w:val="000000"/>
          <w:sz w:val="32"/>
          <w:szCs w:val="32"/>
        </w:rPr>
        <w:t>（</w:t>
      </w:r>
      <w:r>
        <w:rPr>
          <w:rFonts w:ascii="??_GB2312" w:eastAsia="Times New Roman"/>
          <w:color w:val="000000"/>
          <w:sz w:val="32"/>
          <w:szCs w:val="32"/>
        </w:rPr>
        <w:t>3</w:t>
      </w:r>
      <w:r>
        <w:rPr>
          <w:rFonts w:ascii="微软雅黑" w:eastAsia="微软雅黑" w:hAnsi="微软雅黑" w:cs="微软雅黑"/>
          <w:color w:val="000000"/>
          <w:sz w:val="32"/>
          <w:szCs w:val="32"/>
        </w:rPr>
        <w:t>~</w:t>
      </w:r>
      <w:r>
        <w:rPr>
          <w:rFonts w:ascii="??_GB2312" w:eastAsia="Times New Roman"/>
          <w:color w:val="000000"/>
          <w:sz w:val="32"/>
          <w:szCs w:val="32"/>
        </w:rPr>
        <w:t>5</w:t>
      </w:r>
      <w:r>
        <w:rPr>
          <w:rFonts w:ascii="??_GB2312" w:eastAsia="Times New Roman"/>
          <w:color w:val="000000"/>
          <w:sz w:val="32"/>
          <w:szCs w:val="32"/>
        </w:rPr>
        <w:t>万元）</w:t>
      </w:r>
      <w:r w:rsidRPr="0095176D">
        <w:rPr>
          <w:rFonts w:hAnsi="宋体" w:hint="eastAsia"/>
          <w:color w:val="000000"/>
          <w:sz w:val="32"/>
          <w:szCs w:val="32"/>
        </w:rPr>
        <w:t>。</w:t>
      </w:r>
    </w:p>
    <w:p w:rsidR="00380575" w:rsidRPr="002E3E9C" w:rsidRDefault="00380575"/>
    <w:sectPr w:rsidR="00380575" w:rsidRPr="002E3E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99" w:rsidRDefault="004A0199" w:rsidP="002E3E9C">
      <w:r>
        <w:separator/>
      </w:r>
    </w:p>
  </w:endnote>
  <w:endnote w:type="continuationSeparator" w:id="0">
    <w:p w:rsidR="004A0199" w:rsidRDefault="004A0199" w:rsidP="002E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99" w:rsidRDefault="004A0199" w:rsidP="002E3E9C">
      <w:r>
        <w:separator/>
      </w:r>
    </w:p>
  </w:footnote>
  <w:footnote w:type="continuationSeparator" w:id="0">
    <w:p w:rsidR="004A0199" w:rsidRDefault="004A0199" w:rsidP="002E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04FCE7"/>
    <w:multiLevelType w:val="singleLevel"/>
    <w:tmpl w:val="8904FCE7"/>
    <w:lvl w:ilvl="0">
      <w:start w:val="5"/>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8F722664-118A-4231-9F62-985129FB5A6D}"/>
    <w:docVar w:name="KY_MEDREF_VERSION" w:val="3"/>
  </w:docVars>
  <w:rsids>
    <w:rsidRoot w:val="00AD7D77"/>
    <w:rsid w:val="000045FC"/>
    <w:rsid w:val="000154B0"/>
    <w:rsid w:val="00022217"/>
    <w:rsid w:val="000330A2"/>
    <w:rsid w:val="0004261A"/>
    <w:rsid w:val="000564F4"/>
    <w:rsid w:val="00067498"/>
    <w:rsid w:val="00070DE7"/>
    <w:rsid w:val="000918A6"/>
    <w:rsid w:val="000B1D69"/>
    <w:rsid w:val="000B5C39"/>
    <w:rsid w:val="000B75C4"/>
    <w:rsid w:val="000C7F5B"/>
    <w:rsid w:val="000D3584"/>
    <w:rsid w:val="000E6AD6"/>
    <w:rsid w:val="000F1BAC"/>
    <w:rsid w:val="000F3518"/>
    <w:rsid w:val="000F3AC9"/>
    <w:rsid w:val="00100D3D"/>
    <w:rsid w:val="00127741"/>
    <w:rsid w:val="00136CBE"/>
    <w:rsid w:val="00154D21"/>
    <w:rsid w:val="0017280A"/>
    <w:rsid w:val="00175842"/>
    <w:rsid w:val="00176FE5"/>
    <w:rsid w:val="0019083C"/>
    <w:rsid w:val="001B7E28"/>
    <w:rsid w:val="001D06AF"/>
    <w:rsid w:val="001E37AB"/>
    <w:rsid w:val="001E7B88"/>
    <w:rsid w:val="00202B11"/>
    <w:rsid w:val="00203C4C"/>
    <w:rsid w:val="0026235D"/>
    <w:rsid w:val="00264794"/>
    <w:rsid w:val="00272AB3"/>
    <w:rsid w:val="00272ADC"/>
    <w:rsid w:val="00273661"/>
    <w:rsid w:val="00277D97"/>
    <w:rsid w:val="002858F5"/>
    <w:rsid w:val="00286429"/>
    <w:rsid w:val="002905C3"/>
    <w:rsid w:val="00297C23"/>
    <w:rsid w:val="002E22C3"/>
    <w:rsid w:val="002E3E9C"/>
    <w:rsid w:val="0030428C"/>
    <w:rsid w:val="00317188"/>
    <w:rsid w:val="0033345E"/>
    <w:rsid w:val="00341E27"/>
    <w:rsid w:val="00352BCC"/>
    <w:rsid w:val="00363121"/>
    <w:rsid w:val="00371C0E"/>
    <w:rsid w:val="00380575"/>
    <w:rsid w:val="00394CE7"/>
    <w:rsid w:val="003A18D2"/>
    <w:rsid w:val="003B57BA"/>
    <w:rsid w:val="003B6085"/>
    <w:rsid w:val="003C41A1"/>
    <w:rsid w:val="003D738D"/>
    <w:rsid w:val="00405F01"/>
    <w:rsid w:val="00406774"/>
    <w:rsid w:val="00425667"/>
    <w:rsid w:val="00446CC5"/>
    <w:rsid w:val="00447567"/>
    <w:rsid w:val="00474C11"/>
    <w:rsid w:val="00487B6A"/>
    <w:rsid w:val="00492BE3"/>
    <w:rsid w:val="004A0199"/>
    <w:rsid w:val="004F373F"/>
    <w:rsid w:val="00500845"/>
    <w:rsid w:val="005329AA"/>
    <w:rsid w:val="005375DD"/>
    <w:rsid w:val="005508C6"/>
    <w:rsid w:val="00566891"/>
    <w:rsid w:val="00574624"/>
    <w:rsid w:val="00586E69"/>
    <w:rsid w:val="0058736F"/>
    <w:rsid w:val="005A23C5"/>
    <w:rsid w:val="005C63C1"/>
    <w:rsid w:val="005D6472"/>
    <w:rsid w:val="005F1DAB"/>
    <w:rsid w:val="00643E70"/>
    <w:rsid w:val="006458EE"/>
    <w:rsid w:val="0066354F"/>
    <w:rsid w:val="00667400"/>
    <w:rsid w:val="00696DDD"/>
    <w:rsid w:val="006D6F37"/>
    <w:rsid w:val="006D7923"/>
    <w:rsid w:val="006E2D8F"/>
    <w:rsid w:val="006F3D13"/>
    <w:rsid w:val="00721308"/>
    <w:rsid w:val="0073078F"/>
    <w:rsid w:val="00745099"/>
    <w:rsid w:val="00760401"/>
    <w:rsid w:val="0077163D"/>
    <w:rsid w:val="00780A1E"/>
    <w:rsid w:val="00785EB6"/>
    <w:rsid w:val="00797946"/>
    <w:rsid w:val="007A1EE2"/>
    <w:rsid w:val="007B1131"/>
    <w:rsid w:val="007C3283"/>
    <w:rsid w:val="007D102D"/>
    <w:rsid w:val="00805790"/>
    <w:rsid w:val="00820FF2"/>
    <w:rsid w:val="0085010E"/>
    <w:rsid w:val="00854077"/>
    <w:rsid w:val="00867B10"/>
    <w:rsid w:val="008A4F10"/>
    <w:rsid w:val="008D507C"/>
    <w:rsid w:val="008F6B9A"/>
    <w:rsid w:val="00933E56"/>
    <w:rsid w:val="00942C63"/>
    <w:rsid w:val="009532A2"/>
    <w:rsid w:val="0096127C"/>
    <w:rsid w:val="009674FE"/>
    <w:rsid w:val="00977992"/>
    <w:rsid w:val="009843AF"/>
    <w:rsid w:val="00990530"/>
    <w:rsid w:val="00994E87"/>
    <w:rsid w:val="009A1DAD"/>
    <w:rsid w:val="009C382F"/>
    <w:rsid w:val="009E33C0"/>
    <w:rsid w:val="00A16AB6"/>
    <w:rsid w:val="00A23B79"/>
    <w:rsid w:val="00A5297C"/>
    <w:rsid w:val="00A750A4"/>
    <w:rsid w:val="00A75DA1"/>
    <w:rsid w:val="00A825CB"/>
    <w:rsid w:val="00A85718"/>
    <w:rsid w:val="00A97D5D"/>
    <w:rsid w:val="00AB05C4"/>
    <w:rsid w:val="00AB2BDD"/>
    <w:rsid w:val="00AD12DB"/>
    <w:rsid w:val="00AD4AF9"/>
    <w:rsid w:val="00AD7D77"/>
    <w:rsid w:val="00B15CDF"/>
    <w:rsid w:val="00B22137"/>
    <w:rsid w:val="00B24427"/>
    <w:rsid w:val="00B347D6"/>
    <w:rsid w:val="00B655D3"/>
    <w:rsid w:val="00B74E96"/>
    <w:rsid w:val="00B84D4C"/>
    <w:rsid w:val="00B971CB"/>
    <w:rsid w:val="00BC2882"/>
    <w:rsid w:val="00BD099A"/>
    <w:rsid w:val="00BD6B07"/>
    <w:rsid w:val="00BE16AC"/>
    <w:rsid w:val="00BE4383"/>
    <w:rsid w:val="00C0262E"/>
    <w:rsid w:val="00C12104"/>
    <w:rsid w:val="00C14C52"/>
    <w:rsid w:val="00C14C54"/>
    <w:rsid w:val="00C24C7A"/>
    <w:rsid w:val="00C458F5"/>
    <w:rsid w:val="00C64030"/>
    <w:rsid w:val="00C819B2"/>
    <w:rsid w:val="00C90F2D"/>
    <w:rsid w:val="00C92A00"/>
    <w:rsid w:val="00CA6760"/>
    <w:rsid w:val="00CB24F8"/>
    <w:rsid w:val="00CC78F1"/>
    <w:rsid w:val="00CD08B1"/>
    <w:rsid w:val="00CF41D6"/>
    <w:rsid w:val="00D00093"/>
    <w:rsid w:val="00D12E51"/>
    <w:rsid w:val="00D347C8"/>
    <w:rsid w:val="00D626FD"/>
    <w:rsid w:val="00D64C89"/>
    <w:rsid w:val="00D806DA"/>
    <w:rsid w:val="00D850C2"/>
    <w:rsid w:val="00D86FA0"/>
    <w:rsid w:val="00DB4A89"/>
    <w:rsid w:val="00DE4134"/>
    <w:rsid w:val="00E022D5"/>
    <w:rsid w:val="00E061DE"/>
    <w:rsid w:val="00E1058F"/>
    <w:rsid w:val="00E351A7"/>
    <w:rsid w:val="00E36D29"/>
    <w:rsid w:val="00E36FD3"/>
    <w:rsid w:val="00E37C09"/>
    <w:rsid w:val="00E445EA"/>
    <w:rsid w:val="00E54973"/>
    <w:rsid w:val="00E8217D"/>
    <w:rsid w:val="00E87643"/>
    <w:rsid w:val="00E945FC"/>
    <w:rsid w:val="00EB581E"/>
    <w:rsid w:val="00EC3F99"/>
    <w:rsid w:val="00EC4728"/>
    <w:rsid w:val="00EE0314"/>
    <w:rsid w:val="00F00D0F"/>
    <w:rsid w:val="00F02F32"/>
    <w:rsid w:val="00F402B3"/>
    <w:rsid w:val="00F447E4"/>
    <w:rsid w:val="00F95F81"/>
    <w:rsid w:val="00FD38C1"/>
    <w:rsid w:val="00FD743A"/>
    <w:rsid w:val="00FF0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D5DD22-87B2-4BBD-AAA2-3C0EC36D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E9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E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3E9C"/>
    <w:rPr>
      <w:sz w:val="18"/>
      <w:szCs w:val="18"/>
    </w:rPr>
  </w:style>
  <w:style w:type="paragraph" w:styleId="a4">
    <w:name w:val="footer"/>
    <w:basedOn w:val="a"/>
    <w:link w:val="Char0"/>
    <w:uiPriority w:val="99"/>
    <w:unhideWhenUsed/>
    <w:rsid w:val="002E3E9C"/>
    <w:pPr>
      <w:tabs>
        <w:tab w:val="center" w:pos="4153"/>
        <w:tab w:val="right" w:pos="8306"/>
      </w:tabs>
      <w:snapToGrid w:val="0"/>
      <w:jc w:val="left"/>
    </w:pPr>
    <w:rPr>
      <w:sz w:val="18"/>
      <w:szCs w:val="18"/>
    </w:rPr>
  </w:style>
  <w:style w:type="character" w:customStyle="1" w:styleId="Char0">
    <w:name w:val="页脚 Char"/>
    <w:basedOn w:val="a0"/>
    <w:link w:val="a4"/>
    <w:uiPriority w:val="99"/>
    <w:rsid w:val="002E3E9C"/>
    <w:rPr>
      <w:sz w:val="18"/>
      <w:szCs w:val="18"/>
    </w:rPr>
  </w:style>
  <w:style w:type="paragraph" w:styleId="a5">
    <w:name w:val="Plain Text"/>
    <w:basedOn w:val="a"/>
    <w:link w:val="Char1"/>
    <w:uiPriority w:val="99"/>
    <w:rsid w:val="002E3E9C"/>
    <w:rPr>
      <w:rFonts w:ascii="宋体" w:hAnsi="Courier New"/>
      <w:kern w:val="0"/>
      <w:sz w:val="20"/>
    </w:rPr>
  </w:style>
  <w:style w:type="character" w:customStyle="1" w:styleId="Char1">
    <w:name w:val="纯文本 Char"/>
    <w:basedOn w:val="a0"/>
    <w:link w:val="a5"/>
    <w:uiPriority w:val="99"/>
    <w:rsid w:val="002E3E9C"/>
    <w:rPr>
      <w:rFonts w:ascii="宋体" w:eastAsia="宋体"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Dell</cp:lastModifiedBy>
  <cp:revision>3</cp:revision>
  <dcterms:created xsi:type="dcterms:W3CDTF">2019-04-08T01:02:00Z</dcterms:created>
  <dcterms:modified xsi:type="dcterms:W3CDTF">2019-04-10T02:46:00Z</dcterms:modified>
</cp:coreProperties>
</file>